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Borsanız nezdinde Elektronik Ürün Senedi (ELÜS) alım-satım işlemleri yapılmak üzere …………………….….. TCKN / VKN sahibi  …………….……………………..’ye Bankamız ……………………… Şubesi nezdinde aşağıda numarası belirtilen hesap açılmıştır.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Bilgilerinize sunarız.</w:t>
      </w:r>
    </w:p>
    <w:p w:rsidR="00000000" w:rsidDel="00000000" w:rsidP="00000000" w:rsidRDefault="00000000" w:rsidRPr="00000000" w14:paraId="00000005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Saygılarımızla,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color w:val="222222"/>
          <w:sz w:val="24"/>
          <w:szCs w:val="24"/>
          <w:rtl w:val="0"/>
        </w:rPr>
        <w:t xml:space="preserve">Takas Merkezi Üyesi Kodu:</w:t>
      </w: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 TIB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" w:cs="Times" w:eastAsia="Times" w:hAnsi="Times"/>
          <w:b w:val="1"/>
          <w:color w:val="222222"/>
          <w:sz w:val="24"/>
          <w:szCs w:val="24"/>
          <w:rtl w:val="0"/>
        </w:rPr>
        <w:t xml:space="preserve">Hesap Numarası:</w:t>
      </w: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 …………………..……..(11 Hane)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MKK Sicil Numarası: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Times" w:cs="Times" w:eastAsia="Times" w:hAnsi="Times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